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0C5" w:rsidRPr="002840C5" w:rsidRDefault="002840C5" w:rsidP="002840C5">
      <w:pPr>
        <w:jc w:val="center"/>
        <w:rPr>
          <w:b/>
          <w:sz w:val="44"/>
          <w:u w:val="single"/>
        </w:rPr>
      </w:pPr>
      <w:r w:rsidRPr="002840C5">
        <w:rPr>
          <w:b/>
          <w:sz w:val="48"/>
          <w:u w:val="single"/>
        </w:rPr>
        <w:t xml:space="preserve">Peptide Synthesizer </w:t>
      </w:r>
      <w:r w:rsidRPr="002840C5">
        <w:rPr>
          <w:b/>
          <w:sz w:val="44"/>
          <w:u w:val="single"/>
        </w:rPr>
        <w:t>(</w:t>
      </w:r>
      <w:r w:rsidRPr="002840C5">
        <w:rPr>
          <w:b/>
          <w:sz w:val="32"/>
          <w:u w:val="single"/>
        </w:rPr>
        <w:t>PS3, Protein Technologies</w:t>
      </w:r>
      <w:r w:rsidRPr="002840C5">
        <w:rPr>
          <w:b/>
          <w:sz w:val="44"/>
          <w:u w:val="single"/>
        </w:rPr>
        <w:t>)</w:t>
      </w:r>
    </w:p>
    <w:p w:rsidR="002840C5" w:rsidRDefault="002840C5">
      <w:pPr>
        <w:rPr>
          <w:i/>
        </w:rPr>
      </w:pPr>
    </w:p>
    <w:p w:rsidR="009346FE" w:rsidRDefault="002840C5" w:rsidP="002840C5">
      <w:pPr>
        <w:jc w:val="right"/>
        <w:rPr>
          <w:i/>
        </w:rPr>
      </w:pPr>
      <w:r w:rsidRPr="002840C5">
        <w:rPr>
          <w:noProof/>
          <w:lang w:bidi="hi-IN"/>
        </w:rPr>
        <w:drawing>
          <wp:inline distT="0" distB="0" distL="0" distR="0">
            <wp:extent cx="5943600" cy="3590925"/>
            <wp:effectExtent l="19050" t="0" r="0" b="0"/>
            <wp:docPr id="1" name="Picture 1" descr="C:\Documents and Settings\Administrator\Desktop\item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item_21.jpg"/>
                    <pic:cNvPicPr>
                      <a:picLocks noChangeAspect="1" noChangeArrowheads="1"/>
                    </pic:cNvPicPr>
                  </pic:nvPicPr>
                  <pic:blipFill>
                    <a:blip r:embed="rId5"/>
                    <a:srcRect/>
                    <a:stretch>
                      <a:fillRect/>
                    </a:stretch>
                  </pic:blipFill>
                  <pic:spPr bwMode="auto">
                    <a:xfrm>
                      <a:off x="0" y="0"/>
                      <a:ext cx="5943600" cy="3590925"/>
                    </a:xfrm>
                    <a:prstGeom prst="rect">
                      <a:avLst/>
                    </a:prstGeom>
                    <a:noFill/>
                    <a:ln w="9525">
                      <a:noFill/>
                      <a:miter lim="800000"/>
                      <a:headEnd/>
                      <a:tailEnd/>
                    </a:ln>
                  </pic:spPr>
                </pic:pic>
              </a:graphicData>
            </a:graphic>
          </wp:inline>
        </w:drawing>
      </w:r>
    </w:p>
    <w:p w:rsidR="002840C5" w:rsidRDefault="002840C5">
      <w:pPr>
        <w:rPr>
          <w:i/>
        </w:rPr>
      </w:pPr>
    </w:p>
    <w:p w:rsidR="002840C5" w:rsidRPr="002840C5" w:rsidRDefault="002840C5"/>
    <w:p w:rsidR="002840C5" w:rsidRDefault="002840C5" w:rsidP="002840C5">
      <w:pPr>
        <w:jc w:val="both"/>
        <w:rPr>
          <w:rFonts w:ascii="Verdana" w:hAnsi="Verdana"/>
        </w:rPr>
      </w:pPr>
      <w:r w:rsidRPr="002840C5">
        <w:rPr>
          <w:rFonts w:ascii="Verdana" w:hAnsi="Verdana"/>
          <w:b/>
        </w:rPr>
        <w:t>The PS3™ has 3 serial reaction vessels and allows up to 45 couplings without user intervention or reloading.  The efficient packaging method for protected amino acids and activator simplifies procedures and reduces the number of mechanical components required</w:t>
      </w:r>
      <w:r>
        <w:rPr>
          <w:rFonts w:ascii="Verdana" w:hAnsi="Verdana"/>
        </w:rPr>
        <w:t>.</w:t>
      </w:r>
    </w:p>
    <w:p w:rsidR="002840C5" w:rsidRPr="005446FD" w:rsidRDefault="002840C5" w:rsidP="002840C5">
      <w:pPr>
        <w:rPr>
          <w:b/>
          <w:sz w:val="40"/>
          <w:u w:val="single"/>
        </w:rPr>
      </w:pPr>
      <w:r w:rsidRPr="002840C5">
        <w:rPr>
          <w:b/>
          <w:sz w:val="40"/>
          <w:u w:val="single"/>
        </w:rPr>
        <w:t>Specification: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08"/>
        <w:gridCol w:w="6342"/>
      </w:tblGrid>
      <w:tr w:rsidR="002840C5" w:rsidRPr="002840C5" w:rsidTr="00E57793">
        <w:trPr>
          <w:trHeight w:val="970"/>
          <w:tblCellSpacing w:w="15" w:type="dxa"/>
        </w:trPr>
        <w:tc>
          <w:tcPr>
            <w:tcW w:w="1621" w:type="pct"/>
            <w:hideMark/>
          </w:tcPr>
          <w:p w:rsidR="002840C5" w:rsidRPr="002840C5" w:rsidRDefault="002840C5" w:rsidP="002840C5">
            <w:pPr>
              <w:spacing w:after="0" w:line="480" w:lineRule="auto"/>
              <w:rPr>
                <w:rFonts w:ascii="Times New Roman" w:eastAsia="Times New Roman" w:hAnsi="Times New Roman" w:cs="Times New Roman"/>
                <w:sz w:val="24"/>
                <w:szCs w:val="24"/>
              </w:rPr>
            </w:pPr>
            <w:r w:rsidRPr="002840C5">
              <w:rPr>
                <w:rFonts w:ascii="Verdana" w:eastAsia="Times New Roman" w:hAnsi="Verdana" w:cs="Times New Roman"/>
                <w:b/>
                <w:bCs/>
                <w:sz w:val="24"/>
                <w:szCs w:val="24"/>
              </w:rPr>
              <w:t>Synthesis Scale:</w:t>
            </w:r>
          </w:p>
        </w:tc>
        <w:tc>
          <w:tcPr>
            <w:tcW w:w="3332" w:type="pct"/>
            <w:hideMark/>
          </w:tcPr>
          <w:p w:rsidR="002840C5" w:rsidRPr="002840C5" w:rsidRDefault="002840C5" w:rsidP="002840C5">
            <w:pPr>
              <w:spacing w:after="0" w:line="480" w:lineRule="auto"/>
              <w:rPr>
                <w:rFonts w:ascii="Times New Roman" w:eastAsia="Times New Roman" w:hAnsi="Times New Roman" w:cs="Times New Roman"/>
                <w:sz w:val="24"/>
                <w:szCs w:val="24"/>
              </w:rPr>
            </w:pPr>
            <w:r w:rsidRPr="002840C5">
              <w:rPr>
                <w:rFonts w:ascii="Verdana" w:eastAsia="Times New Roman" w:hAnsi="Verdana" w:cs="Times New Roman"/>
                <w:sz w:val="24"/>
                <w:szCs w:val="24"/>
              </w:rPr>
              <w:t xml:space="preserve">0.005 - 1.50 </w:t>
            </w:r>
            <w:proofErr w:type="spellStart"/>
            <w:r w:rsidRPr="002840C5">
              <w:rPr>
                <w:rFonts w:ascii="Verdana" w:eastAsia="Times New Roman" w:hAnsi="Verdana" w:cs="Times New Roman"/>
                <w:sz w:val="24"/>
                <w:szCs w:val="24"/>
              </w:rPr>
              <w:t>mmol</w:t>
            </w:r>
            <w:proofErr w:type="spellEnd"/>
            <w:r w:rsidRPr="002840C5">
              <w:rPr>
                <w:rFonts w:ascii="Verdana" w:eastAsia="Times New Roman" w:hAnsi="Verdana" w:cs="Times New Roman"/>
                <w:sz w:val="24"/>
                <w:szCs w:val="24"/>
              </w:rPr>
              <w:t xml:space="preserve"> (at 2x excess, up to 1.0 g of resin per RV)</w:t>
            </w:r>
          </w:p>
        </w:tc>
      </w:tr>
      <w:tr w:rsidR="002840C5" w:rsidRPr="002840C5" w:rsidTr="00E57793">
        <w:trPr>
          <w:tblCellSpacing w:w="15" w:type="dxa"/>
        </w:trPr>
        <w:tc>
          <w:tcPr>
            <w:tcW w:w="1621" w:type="pct"/>
            <w:hideMark/>
          </w:tcPr>
          <w:p w:rsidR="002840C5" w:rsidRPr="002840C5" w:rsidRDefault="002840C5" w:rsidP="002840C5">
            <w:pPr>
              <w:spacing w:after="0" w:line="480" w:lineRule="auto"/>
              <w:rPr>
                <w:rFonts w:ascii="Times New Roman" w:eastAsia="Times New Roman" w:hAnsi="Times New Roman" w:cs="Times New Roman"/>
                <w:sz w:val="24"/>
                <w:szCs w:val="24"/>
              </w:rPr>
            </w:pPr>
            <w:r w:rsidRPr="002840C5">
              <w:rPr>
                <w:rFonts w:ascii="Verdana" w:eastAsia="Times New Roman" w:hAnsi="Verdana" w:cs="Times New Roman"/>
                <w:b/>
                <w:bCs/>
                <w:sz w:val="24"/>
                <w:szCs w:val="24"/>
              </w:rPr>
              <w:t>Unattended Couplings:</w:t>
            </w:r>
          </w:p>
        </w:tc>
        <w:tc>
          <w:tcPr>
            <w:tcW w:w="3332" w:type="pct"/>
            <w:hideMark/>
          </w:tcPr>
          <w:p w:rsidR="002840C5" w:rsidRPr="002840C5" w:rsidRDefault="002840C5" w:rsidP="002840C5">
            <w:pPr>
              <w:spacing w:after="0" w:line="480" w:lineRule="auto"/>
              <w:rPr>
                <w:rFonts w:ascii="Times New Roman" w:eastAsia="Times New Roman" w:hAnsi="Times New Roman" w:cs="Times New Roman"/>
                <w:sz w:val="24"/>
                <w:szCs w:val="24"/>
              </w:rPr>
            </w:pPr>
            <w:r w:rsidRPr="002840C5">
              <w:rPr>
                <w:rFonts w:ascii="Verdana" w:eastAsia="Times New Roman" w:hAnsi="Verdana" w:cs="Times New Roman"/>
                <w:sz w:val="24"/>
                <w:szCs w:val="24"/>
              </w:rPr>
              <w:t>45</w:t>
            </w:r>
          </w:p>
        </w:tc>
      </w:tr>
      <w:tr w:rsidR="002840C5" w:rsidRPr="002840C5" w:rsidTr="00E57793">
        <w:trPr>
          <w:tblCellSpacing w:w="15" w:type="dxa"/>
        </w:trPr>
        <w:tc>
          <w:tcPr>
            <w:tcW w:w="1621" w:type="pct"/>
            <w:hideMark/>
          </w:tcPr>
          <w:p w:rsidR="002840C5" w:rsidRPr="002840C5" w:rsidRDefault="002840C5" w:rsidP="002840C5">
            <w:pPr>
              <w:spacing w:after="0" w:line="480" w:lineRule="auto"/>
              <w:rPr>
                <w:rFonts w:ascii="Times New Roman" w:eastAsia="Times New Roman" w:hAnsi="Times New Roman" w:cs="Times New Roman"/>
                <w:sz w:val="24"/>
                <w:szCs w:val="24"/>
              </w:rPr>
            </w:pPr>
            <w:r w:rsidRPr="002840C5">
              <w:rPr>
                <w:rFonts w:ascii="Verdana" w:eastAsia="Times New Roman" w:hAnsi="Verdana" w:cs="Times New Roman"/>
                <w:b/>
                <w:bCs/>
                <w:sz w:val="24"/>
                <w:szCs w:val="24"/>
              </w:rPr>
              <w:lastRenderedPageBreak/>
              <w:t>Reaction Vessels:</w:t>
            </w:r>
          </w:p>
        </w:tc>
        <w:tc>
          <w:tcPr>
            <w:tcW w:w="3332" w:type="pct"/>
            <w:hideMark/>
          </w:tcPr>
          <w:p w:rsidR="002840C5" w:rsidRPr="002840C5" w:rsidRDefault="002840C5" w:rsidP="002840C5">
            <w:pPr>
              <w:spacing w:after="0" w:line="480" w:lineRule="auto"/>
              <w:rPr>
                <w:rFonts w:ascii="Times New Roman" w:eastAsia="Times New Roman" w:hAnsi="Times New Roman" w:cs="Times New Roman"/>
                <w:sz w:val="24"/>
                <w:szCs w:val="24"/>
              </w:rPr>
            </w:pPr>
            <w:r w:rsidRPr="002840C5">
              <w:rPr>
                <w:rFonts w:ascii="Verdana" w:eastAsia="Times New Roman" w:hAnsi="Verdana" w:cs="Times New Roman"/>
                <w:sz w:val="24"/>
                <w:szCs w:val="24"/>
              </w:rPr>
              <w:t>Three, glass (2 × 30mL; 1 × 75 mL)</w:t>
            </w:r>
          </w:p>
        </w:tc>
      </w:tr>
      <w:tr w:rsidR="002840C5" w:rsidRPr="002840C5" w:rsidTr="00E57793">
        <w:trPr>
          <w:tblCellSpacing w:w="15" w:type="dxa"/>
        </w:trPr>
        <w:tc>
          <w:tcPr>
            <w:tcW w:w="1621" w:type="pct"/>
            <w:hideMark/>
          </w:tcPr>
          <w:p w:rsidR="002840C5" w:rsidRPr="002840C5" w:rsidRDefault="002840C5" w:rsidP="002840C5">
            <w:pPr>
              <w:spacing w:after="0" w:line="480" w:lineRule="auto"/>
              <w:rPr>
                <w:rFonts w:ascii="Times New Roman" w:eastAsia="Times New Roman" w:hAnsi="Times New Roman" w:cs="Times New Roman"/>
                <w:sz w:val="24"/>
                <w:szCs w:val="24"/>
              </w:rPr>
            </w:pPr>
            <w:r w:rsidRPr="002840C5">
              <w:rPr>
                <w:rFonts w:ascii="Verdana" w:eastAsia="Times New Roman" w:hAnsi="Verdana" w:cs="Times New Roman"/>
                <w:b/>
                <w:bCs/>
                <w:sz w:val="24"/>
                <w:szCs w:val="24"/>
              </w:rPr>
              <w:t>Reagents/Solvents:</w:t>
            </w:r>
          </w:p>
        </w:tc>
        <w:tc>
          <w:tcPr>
            <w:tcW w:w="3332" w:type="pct"/>
            <w:hideMark/>
          </w:tcPr>
          <w:p w:rsidR="002840C5" w:rsidRPr="002840C5" w:rsidRDefault="002840C5" w:rsidP="002840C5">
            <w:pPr>
              <w:spacing w:after="0" w:line="480" w:lineRule="auto"/>
              <w:rPr>
                <w:rFonts w:ascii="Times New Roman" w:eastAsia="Times New Roman" w:hAnsi="Times New Roman" w:cs="Times New Roman"/>
                <w:sz w:val="24"/>
                <w:szCs w:val="24"/>
              </w:rPr>
            </w:pPr>
            <w:r w:rsidRPr="002840C5">
              <w:rPr>
                <w:rFonts w:ascii="Verdana" w:eastAsia="Times New Roman" w:hAnsi="Verdana" w:cs="Times New Roman"/>
                <w:sz w:val="24"/>
                <w:szCs w:val="24"/>
              </w:rPr>
              <w:t xml:space="preserve">Amino acids &amp; activators: </w:t>
            </w:r>
            <w:r w:rsidRPr="002840C5">
              <w:rPr>
                <w:rFonts w:ascii="Verdana" w:eastAsia="Times New Roman" w:hAnsi="Verdana" w:cs="Times New Roman"/>
                <w:sz w:val="24"/>
                <w:szCs w:val="24"/>
              </w:rPr>
              <w:br/>
              <w:t xml:space="preserve">Prepackaged vials (0.4 </w:t>
            </w:r>
            <w:proofErr w:type="spellStart"/>
            <w:r w:rsidRPr="002840C5">
              <w:rPr>
                <w:rFonts w:ascii="Verdana" w:eastAsia="Times New Roman" w:hAnsi="Verdana" w:cs="Times New Roman"/>
                <w:sz w:val="24"/>
                <w:szCs w:val="24"/>
              </w:rPr>
              <w:t>mmol</w:t>
            </w:r>
            <w:proofErr w:type="spellEnd"/>
            <w:r w:rsidRPr="002840C5">
              <w:rPr>
                <w:rFonts w:ascii="Verdana" w:eastAsia="Times New Roman" w:hAnsi="Verdana" w:cs="Times New Roman"/>
                <w:sz w:val="24"/>
                <w:szCs w:val="24"/>
              </w:rPr>
              <w:t xml:space="preserve"> and 1.0 </w:t>
            </w:r>
            <w:proofErr w:type="spellStart"/>
            <w:r w:rsidRPr="002840C5">
              <w:rPr>
                <w:rFonts w:ascii="Verdana" w:eastAsia="Times New Roman" w:hAnsi="Verdana" w:cs="Times New Roman"/>
                <w:sz w:val="24"/>
                <w:szCs w:val="24"/>
              </w:rPr>
              <w:t>mmol</w:t>
            </w:r>
            <w:proofErr w:type="spellEnd"/>
            <w:r w:rsidRPr="002840C5">
              <w:rPr>
                <w:rFonts w:ascii="Verdana" w:eastAsia="Times New Roman" w:hAnsi="Verdana" w:cs="Times New Roman"/>
                <w:sz w:val="24"/>
                <w:szCs w:val="24"/>
              </w:rPr>
              <w:t>)</w:t>
            </w:r>
          </w:p>
        </w:tc>
      </w:tr>
      <w:tr w:rsidR="002840C5" w:rsidRPr="002840C5" w:rsidTr="00E57793">
        <w:trPr>
          <w:tblCellSpacing w:w="15" w:type="dxa"/>
        </w:trPr>
        <w:tc>
          <w:tcPr>
            <w:tcW w:w="1621" w:type="pct"/>
            <w:hideMark/>
          </w:tcPr>
          <w:p w:rsidR="002840C5" w:rsidRPr="002840C5" w:rsidRDefault="002840C5" w:rsidP="002840C5">
            <w:pPr>
              <w:spacing w:after="0" w:line="480" w:lineRule="auto"/>
              <w:rPr>
                <w:rFonts w:ascii="Times New Roman" w:eastAsia="Times New Roman" w:hAnsi="Times New Roman" w:cs="Times New Roman"/>
                <w:sz w:val="24"/>
                <w:szCs w:val="24"/>
              </w:rPr>
            </w:pPr>
            <w:r w:rsidRPr="002840C5">
              <w:rPr>
                <w:rFonts w:ascii="Verdana" w:eastAsia="Times New Roman" w:hAnsi="Verdana" w:cs="Times New Roman"/>
                <w:b/>
                <w:bCs/>
                <w:sz w:val="24"/>
                <w:szCs w:val="24"/>
              </w:rPr>
              <w:t>for F-MOC:</w:t>
            </w:r>
          </w:p>
        </w:tc>
        <w:tc>
          <w:tcPr>
            <w:tcW w:w="3332" w:type="pct"/>
            <w:hideMark/>
          </w:tcPr>
          <w:p w:rsidR="002840C5" w:rsidRPr="002840C5" w:rsidRDefault="002840C5" w:rsidP="002840C5">
            <w:pPr>
              <w:spacing w:after="0" w:line="480" w:lineRule="auto"/>
              <w:rPr>
                <w:rFonts w:ascii="Times New Roman" w:eastAsia="Times New Roman" w:hAnsi="Times New Roman" w:cs="Times New Roman"/>
                <w:sz w:val="24"/>
                <w:szCs w:val="24"/>
              </w:rPr>
            </w:pPr>
            <w:r w:rsidRPr="002840C5">
              <w:rPr>
                <w:rFonts w:ascii="Verdana" w:eastAsia="Times New Roman" w:hAnsi="Verdana" w:cs="Times New Roman"/>
                <w:sz w:val="24"/>
                <w:szCs w:val="24"/>
              </w:rPr>
              <w:t xml:space="preserve">20% </w:t>
            </w:r>
            <w:proofErr w:type="spellStart"/>
            <w:r w:rsidRPr="002840C5">
              <w:rPr>
                <w:rFonts w:ascii="Verdana" w:eastAsia="Times New Roman" w:hAnsi="Verdana" w:cs="Times New Roman"/>
                <w:sz w:val="24"/>
                <w:szCs w:val="24"/>
              </w:rPr>
              <w:t>Piperidine</w:t>
            </w:r>
            <w:proofErr w:type="spellEnd"/>
            <w:r w:rsidRPr="002840C5">
              <w:rPr>
                <w:rFonts w:ascii="Verdana" w:eastAsia="Times New Roman" w:hAnsi="Verdana" w:cs="Times New Roman"/>
                <w:sz w:val="24"/>
                <w:szCs w:val="24"/>
              </w:rPr>
              <w:t xml:space="preserve">/DMF: Prepackaged bottles (1L) </w:t>
            </w:r>
            <w:r w:rsidRPr="002840C5">
              <w:rPr>
                <w:rFonts w:ascii="Verdana" w:eastAsia="Times New Roman" w:hAnsi="Verdana" w:cs="Times New Roman"/>
                <w:sz w:val="24"/>
                <w:szCs w:val="24"/>
              </w:rPr>
              <w:br/>
              <w:t>0.4M N-</w:t>
            </w:r>
            <w:proofErr w:type="spellStart"/>
            <w:r w:rsidRPr="002840C5">
              <w:rPr>
                <w:rFonts w:ascii="Verdana" w:eastAsia="Times New Roman" w:hAnsi="Verdana" w:cs="Times New Roman"/>
                <w:sz w:val="24"/>
                <w:szCs w:val="24"/>
              </w:rPr>
              <w:t>Methylmorpholine</w:t>
            </w:r>
            <w:proofErr w:type="spellEnd"/>
            <w:r w:rsidRPr="002840C5">
              <w:rPr>
                <w:rFonts w:ascii="Verdana" w:eastAsia="Times New Roman" w:hAnsi="Verdana" w:cs="Times New Roman"/>
                <w:sz w:val="24"/>
                <w:szCs w:val="24"/>
              </w:rPr>
              <w:t xml:space="preserve">/DMF: </w:t>
            </w:r>
            <w:r w:rsidRPr="002840C5">
              <w:rPr>
                <w:rFonts w:ascii="Verdana" w:eastAsia="Times New Roman" w:hAnsi="Verdana" w:cs="Times New Roman"/>
                <w:sz w:val="24"/>
                <w:szCs w:val="24"/>
              </w:rPr>
              <w:br/>
              <w:t xml:space="preserve">Prepackaged bottles (1L) </w:t>
            </w:r>
            <w:r w:rsidRPr="002840C5">
              <w:rPr>
                <w:rFonts w:ascii="Verdana" w:eastAsia="Times New Roman" w:hAnsi="Verdana" w:cs="Times New Roman"/>
                <w:sz w:val="24"/>
                <w:szCs w:val="24"/>
              </w:rPr>
              <w:br/>
            </w:r>
            <w:proofErr w:type="spellStart"/>
            <w:r w:rsidRPr="002840C5">
              <w:rPr>
                <w:rFonts w:ascii="Verdana" w:eastAsia="Times New Roman" w:hAnsi="Verdana" w:cs="Times New Roman"/>
                <w:sz w:val="24"/>
                <w:szCs w:val="24"/>
              </w:rPr>
              <w:t>Dimethylformamide</w:t>
            </w:r>
            <w:proofErr w:type="spellEnd"/>
            <w:r w:rsidRPr="002840C5">
              <w:rPr>
                <w:rFonts w:ascii="Verdana" w:eastAsia="Times New Roman" w:hAnsi="Verdana" w:cs="Times New Roman"/>
                <w:sz w:val="24"/>
                <w:szCs w:val="24"/>
              </w:rPr>
              <w:t xml:space="preserve"> or NMP: Bottles (2 × 4L)</w:t>
            </w:r>
          </w:p>
        </w:tc>
      </w:tr>
      <w:tr w:rsidR="002840C5" w:rsidRPr="002840C5" w:rsidTr="00E57793">
        <w:trPr>
          <w:tblCellSpacing w:w="15" w:type="dxa"/>
        </w:trPr>
        <w:tc>
          <w:tcPr>
            <w:tcW w:w="1621" w:type="pct"/>
            <w:hideMark/>
          </w:tcPr>
          <w:p w:rsidR="002840C5" w:rsidRPr="002840C5" w:rsidRDefault="002840C5" w:rsidP="002840C5">
            <w:pPr>
              <w:spacing w:after="0" w:line="480" w:lineRule="auto"/>
              <w:rPr>
                <w:rFonts w:ascii="Times New Roman" w:eastAsia="Times New Roman" w:hAnsi="Times New Roman" w:cs="Times New Roman"/>
                <w:sz w:val="24"/>
                <w:szCs w:val="24"/>
              </w:rPr>
            </w:pPr>
            <w:r w:rsidRPr="002840C5">
              <w:rPr>
                <w:rFonts w:ascii="Verdana" w:eastAsia="Times New Roman" w:hAnsi="Verdana" w:cs="Times New Roman"/>
                <w:b/>
                <w:bCs/>
                <w:sz w:val="24"/>
                <w:szCs w:val="24"/>
              </w:rPr>
              <w:t>for t-BOC:</w:t>
            </w:r>
          </w:p>
        </w:tc>
        <w:tc>
          <w:tcPr>
            <w:tcW w:w="3332" w:type="pct"/>
            <w:hideMark/>
          </w:tcPr>
          <w:p w:rsidR="002840C5" w:rsidRPr="002840C5" w:rsidRDefault="002840C5" w:rsidP="002840C5">
            <w:pPr>
              <w:spacing w:after="0" w:line="480" w:lineRule="auto"/>
              <w:rPr>
                <w:rFonts w:ascii="Times New Roman" w:eastAsia="Times New Roman" w:hAnsi="Times New Roman" w:cs="Times New Roman"/>
                <w:sz w:val="24"/>
                <w:szCs w:val="24"/>
              </w:rPr>
            </w:pPr>
            <w:r w:rsidRPr="002840C5">
              <w:rPr>
                <w:rFonts w:ascii="Verdana" w:eastAsia="Times New Roman" w:hAnsi="Verdana" w:cs="Times New Roman"/>
                <w:sz w:val="24"/>
                <w:szCs w:val="24"/>
              </w:rPr>
              <w:t xml:space="preserve">50% TFA in methylene chloride (1L) </w:t>
            </w:r>
            <w:r w:rsidRPr="002840C5">
              <w:rPr>
                <w:rFonts w:ascii="Verdana" w:eastAsia="Times New Roman" w:hAnsi="Verdana" w:cs="Times New Roman"/>
                <w:sz w:val="24"/>
                <w:szCs w:val="24"/>
              </w:rPr>
              <w:br/>
              <w:t xml:space="preserve">10% </w:t>
            </w:r>
            <w:proofErr w:type="spellStart"/>
            <w:r w:rsidRPr="002840C5">
              <w:rPr>
                <w:rFonts w:ascii="Verdana" w:eastAsia="Times New Roman" w:hAnsi="Verdana" w:cs="Times New Roman"/>
                <w:sz w:val="24"/>
                <w:szCs w:val="24"/>
              </w:rPr>
              <w:t>diisopropylethylamine</w:t>
            </w:r>
            <w:proofErr w:type="spellEnd"/>
            <w:r w:rsidRPr="002840C5">
              <w:rPr>
                <w:rFonts w:ascii="Verdana" w:eastAsia="Times New Roman" w:hAnsi="Verdana" w:cs="Times New Roman"/>
                <w:sz w:val="24"/>
                <w:szCs w:val="24"/>
              </w:rPr>
              <w:t xml:space="preserve"> in DMF (1L) </w:t>
            </w:r>
            <w:r w:rsidRPr="002840C5">
              <w:rPr>
                <w:rFonts w:ascii="Verdana" w:eastAsia="Times New Roman" w:hAnsi="Verdana" w:cs="Times New Roman"/>
                <w:sz w:val="24"/>
                <w:szCs w:val="24"/>
              </w:rPr>
              <w:br/>
              <w:t>Methylene chloride (2 × 4L)</w:t>
            </w:r>
          </w:p>
        </w:tc>
      </w:tr>
      <w:tr w:rsidR="002840C5" w:rsidRPr="002840C5" w:rsidTr="00E57793">
        <w:trPr>
          <w:tblCellSpacing w:w="15" w:type="dxa"/>
        </w:trPr>
        <w:tc>
          <w:tcPr>
            <w:tcW w:w="1621" w:type="pct"/>
            <w:hideMark/>
          </w:tcPr>
          <w:p w:rsidR="002840C5" w:rsidRPr="002840C5" w:rsidRDefault="002840C5" w:rsidP="002840C5">
            <w:pPr>
              <w:spacing w:after="0" w:line="480" w:lineRule="auto"/>
              <w:rPr>
                <w:rFonts w:ascii="Times New Roman" w:eastAsia="Times New Roman" w:hAnsi="Times New Roman" w:cs="Times New Roman"/>
                <w:sz w:val="24"/>
                <w:szCs w:val="24"/>
              </w:rPr>
            </w:pPr>
            <w:r w:rsidRPr="002840C5">
              <w:rPr>
                <w:rFonts w:ascii="Verdana" w:eastAsia="Times New Roman" w:hAnsi="Verdana" w:cs="Times New Roman"/>
                <w:b/>
                <w:bCs/>
                <w:sz w:val="24"/>
                <w:szCs w:val="24"/>
              </w:rPr>
              <w:t>Fluid Transfer:</w:t>
            </w:r>
          </w:p>
        </w:tc>
        <w:tc>
          <w:tcPr>
            <w:tcW w:w="3332" w:type="pct"/>
            <w:hideMark/>
          </w:tcPr>
          <w:p w:rsidR="002840C5" w:rsidRPr="002840C5" w:rsidRDefault="002840C5" w:rsidP="002840C5">
            <w:pPr>
              <w:spacing w:after="0" w:line="480" w:lineRule="auto"/>
              <w:rPr>
                <w:rFonts w:ascii="Times New Roman" w:eastAsia="Times New Roman" w:hAnsi="Times New Roman" w:cs="Times New Roman"/>
                <w:sz w:val="24"/>
                <w:szCs w:val="24"/>
              </w:rPr>
            </w:pPr>
            <w:r w:rsidRPr="002840C5">
              <w:rPr>
                <w:rFonts w:ascii="Verdana" w:eastAsia="Times New Roman" w:hAnsi="Verdana" w:cs="Times New Roman"/>
                <w:sz w:val="24"/>
                <w:szCs w:val="24"/>
              </w:rPr>
              <w:t>Nitrogen or Argon pressure</w:t>
            </w:r>
          </w:p>
        </w:tc>
      </w:tr>
      <w:tr w:rsidR="002840C5" w:rsidRPr="002840C5" w:rsidTr="00E57793">
        <w:trPr>
          <w:tblCellSpacing w:w="15" w:type="dxa"/>
        </w:trPr>
        <w:tc>
          <w:tcPr>
            <w:tcW w:w="1621" w:type="pct"/>
            <w:hideMark/>
          </w:tcPr>
          <w:p w:rsidR="002840C5" w:rsidRPr="002840C5" w:rsidRDefault="002840C5" w:rsidP="002840C5">
            <w:pPr>
              <w:spacing w:after="0" w:line="480" w:lineRule="auto"/>
              <w:rPr>
                <w:rFonts w:ascii="Times New Roman" w:eastAsia="Times New Roman" w:hAnsi="Times New Roman" w:cs="Times New Roman"/>
                <w:sz w:val="24"/>
                <w:szCs w:val="24"/>
              </w:rPr>
            </w:pPr>
            <w:r w:rsidRPr="002840C5">
              <w:rPr>
                <w:rFonts w:ascii="Verdana" w:eastAsia="Times New Roman" w:hAnsi="Verdana" w:cs="Times New Roman"/>
                <w:b/>
                <w:bCs/>
                <w:sz w:val="24"/>
                <w:szCs w:val="24"/>
              </w:rPr>
              <w:t>Solution Removal:</w:t>
            </w:r>
          </w:p>
        </w:tc>
        <w:tc>
          <w:tcPr>
            <w:tcW w:w="3332" w:type="pct"/>
            <w:hideMark/>
          </w:tcPr>
          <w:p w:rsidR="002840C5" w:rsidRPr="002840C5" w:rsidRDefault="002840C5" w:rsidP="002840C5">
            <w:pPr>
              <w:spacing w:after="0" w:line="480" w:lineRule="auto"/>
              <w:rPr>
                <w:rFonts w:ascii="Times New Roman" w:eastAsia="Times New Roman" w:hAnsi="Times New Roman" w:cs="Times New Roman"/>
                <w:sz w:val="24"/>
                <w:szCs w:val="24"/>
              </w:rPr>
            </w:pPr>
            <w:r w:rsidRPr="002840C5">
              <w:rPr>
                <w:rFonts w:ascii="Verdana" w:eastAsia="Times New Roman" w:hAnsi="Verdana" w:cs="Times New Roman"/>
                <w:sz w:val="24"/>
                <w:szCs w:val="24"/>
              </w:rPr>
              <w:t>Filtration</w:t>
            </w:r>
          </w:p>
        </w:tc>
      </w:tr>
    </w:tbl>
    <w:p w:rsidR="002840C5" w:rsidRPr="005446FD" w:rsidRDefault="002840C5" w:rsidP="002840C5">
      <w:pPr>
        <w:rPr>
          <w:b/>
          <w:sz w:val="32"/>
        </w:rPr>
      </w:pPr>
      <w:r>
        <w:rPr>
          <w:b/>
          <w:sz w:val="32"/>
        </w:rPr>
        <w:t>Accessories:</w:t>
      </w:r>
    </w:p>
    <w:tbl>
      <w:tblPr>
        <w:tblW w:w="5883" w:type="dxa"/>
        <w:tblInd w:w="1605" w:type="dxa"/>
        <w:tblLook w:val="04A0" w:firstRow="1" w:lastRow="0" w:firstColumn="1" w:lastColumn="0" w:noHBand="0" w:noVBand="1"/>
      </w:tblPr>
      <w:tblGrid>
        <w:gridCol w:w="5883"/>
      </w:tblGrid>
      <w:tr w:rsidR="002840C5" w:rsidRPr="002840C5" w:rsidTr="00EC00C7">
        <w:trPr>
          <w:trHeight w:val="162"/>
        </w:trPr>
        <w:tc>
          <w:tcPr>
            <w:tcW w:w="5883" w:type="dxa"/>
            <w:shd w:val="clear" w:color="auto" w:fill="auto"/>
            <w:vAlign w:val="bottom"/>
            <w:hideMark/>
          </w:tcPr>
          <w:p w:rsidR="002840C5" w:rsidRPr="002840C5" w:rsidRDefault="005E4C87" w:rsidP="002840C5">
            <w:pPr>
              <w:pStyle w:val="ListParagraph"/>
              <w:numPr>
                <w:ilvl w:val="0"/>
                <w:numId w:val="1"/>
              </w:numPr>
              <w:spacing w:after="0" w:line="240" w:lineRule="auto"/>
              <w:rPr>
                <w:rFonts w:ascii="Calibri" w:eastAsia="Times New Roman" w:hAnsi="Calibri" w:cs="Times New Roman"/>
                <w:color w:val="000000" w:themeColor="text1"/>
                <w:sz w:val="28"/>
                <w:szCs w:val="24"/>
              </w:rPr>
            </w:pPr>
            <w:hyperlink r:id="rId6" w:tooltip="30 mL Reaction Vessel, Glass" w:history="1">
              <w:r w:rsidR="002840C5" w:rsidRPr="002840C5">
                <w:rPr>
                  <w:rFonts w:ascii="Calibri" w:eastAsia="Times New Roman" w:hAnsi="Calibri" w:cs="Times New Roman"/>
                  <w:color w:val="000000" w:themeColor="text1"/>
                  <w:sz w:val="28"/>
                  <w:szCs w:val="24"/>
                </w:rPr>
                <w:t>30mLReactionVessel,Glass</w:t>
              </w:r>
            </w:hyperlink>
          </w:p>
        </w:tc>
      </w:tr>
      <w:tr w:rsidR="002840C5" w:rsidRPr="002840C5" w:rsidTr="00EC00C7">
        <w:trPr>
          <w:trHeight w:val="422"/>
        </w:trPr>
        <w:tc>
          <w:tcPr>
            <w:tcW w:w="5883" w:type="dxa"/>
            <w:shd w:val="clear" w:color="auto" w:fill="auto"/>
            <w:vAlign w:val="bottom"/>
            <w:hideMark/>
          </w:tcPr>
          <w:p w:rsidR="002840C5" w:rsidRPr="002840C5" w:rsidRDefault="005E4C87" w:rsidP="002840C5">
            <w:pPr>
              <w:pStyle w:val="ListParagraph"/>
              <w:numPr>
                <w:ilvl w:val="0"/>
                <w:numId w:val="1"/>
              </w:numPr>
              <w:spacing w:after="0" w:line="240" w:lineRule="auto"/>
              <w:rPr>
                <w:rFonts w:ascii="Calibri" w:eastAsia="Times New Roman" w:hAnsi="Calibri" w:cs="Times New Roman"/>
                <w:color w:val="000000" w:themeColor="text1"/>
                <w:sz w:val="28"/>
                <w:szCs w:val="24"/>
              </w:rPr>
            </w:pPr>
            <w:hyperlink r:id="rId7" w:tooltip="75 mL Reaction Vessel, Glass" w:history="1">
              <w:r w:rsidR="002840C5" w:rsidRPr="002840C5">
                <w:rPr>
                  <w:rFonts w:ascii="Calibri" w:eastAsia="Times New Roman" w:hAnsi="Calibri" w:cs="Times New Roman"/>
                  <w:color w:val="000000" w:themeColor="text1"/>
                  <w:sz w:val="28"/>
                  <w:szCs w:val="24"/>
                </w:rPr>
                <w:t>75 mL Reaction Vessel, Glass</w:t>
              </w:r>
            </w:hyperlink>
          </w:p>
        </w:tc>
      </w:tr>
      <w:tr w:rsidR="002840C5" w:rsidRPr="002840C5" w:rsidTr="00EC00C7">
        <w:trPr>
          <w:trHeight w:val="366"/>
        </w:trPr>
        <w:tc>
          <w:tcPr>
            <w:tcW w:w="5883" w:type="dxa"/>
            <w:shd w:val="clear" w:color="auto" w:fill="auto"/>
            <w:vAlign w:val="bottom"/>
            <w:hideMark/>
          </w:tcPr>
          <w:p w:rsidR="002840C5" w:rsidRPr="002840C5" w:rsidRDefault="005E4C87" w:rsidP="002840C5">
            <w:pPr>
              <w:pStyle w:val="ListParagraph"/>
              <w:numPr>
                <w:ilvl w:val="0"/>
                <w:numId w:val="1"/>
              </w:numPr>
              <w:spacing w:after="0" w:line="240" w:lineRule="auto"/>
              <w:rPr>
                <w:rFonts w:ascii="Calibri" w:eastAsia="Times New Roman" w:hAnsi="Calibri" w:cs="Times New Roman"/>
                <w:color w:val="000000" w:themeColor="text1"/>
                <w:sz w:val="28"/>
                <w:szCs w:val="24"/>
              </w:rPr>
            </w:pPr>
            <w:hyperlink r:id="rId8" w:tooltip="Reaction Vessel Cap" w:history="1">
              <w:r w:rsidR="002840C5" w:rsidRPr="002840C5">
                <w:rPr>
                  <w:rFonts w:ascii="Calibri" w:eastAsia="Times New Roman" w:hAnsi="Calibri" w:cs="Times New Roman"/>
                  <w:color w:val="000000" w:themeColor="text1"/>
                  <w:sz w:val="28"/>
                  <w:szCs w:val="24"/>
                </w:rPr>
                <w:t>Reaction Vessel Cap</w:t>
              </w:r>
            </w:hyperlink>
          </w:p>
        </w:tc>
      </w:tr>
      <w:tr w:rsidR="002840C5" w:rsidRPr="002840C5" w:rsidTr="00EC00C7">
        <w:trPr>
          <w:trHeight w:val="366"/>
        </w:trPr>
        <w:tc>
          <w:tcPr>
            <w:tcW w:w="5883" w:type="dxa"/>
            <w:shd w:val="clear" w:color="auto" w:fill="auto"/>
            <w:vAlign w:val="bottom"/>
            <w:hideMark/>
          </w:tcPr>
          <w:p w:rsidR="002840C5" w:rsidRPr="002840C5" w:rsidRDefault="005E4C87" w:rsidP="002840C5">
            <w:pPr>
              <w:pStyle w:val="ListParagraph"/>
              <w:numPr>
                <w:ilvl w:val="0"/>
                <w:numId w:val="1"/>
              </w:numPr>
              <w:spacing w:after="0" w:line="240" w:lineRule="auto"/>
              <w:rPr>
                <w:rFonts w:ascii="Calibri" w:eastAsia="Times New Roman" w:hAnsi="Calibri" w:cs="Times New Roman"/>
                <w:color w:val="000000" w:themeColor="text1"/>
                <w:sz w:val="28"/>
                <w:szCs w:val="24"/>
              </w:rPr>
            </w:pPr>
            <w:hyperlink r:id="rId9" w:tooltip="AA Vial, Cap, &amp; Septa" w:history="1">
              <w:r w:rsidR="002840C5" w:rsidRPr="002840C5">
                <w:rPr>
                  <w:rFonts w:ascii="Calibri" w:eastAsia="Times New Roman" w:hAnsi="Calibri" w:cs="Times New Roman"/>
                  <w:color w:val="000000" w:themeColor="text1"/>
                  <w:sz w:val="28"/>
                  <w:szCs w:val="24"/>
                </w:rPr>
                <w:t>AA Vial, Cap, &amp; Septa</w:t>
              </w:r>
            </w:hyperlink>
          </w:p>
        </w:tc>
      </w:tr>
      <w:tr w:rsidR="002840C5" w:rsidRPr="002840C5" w:rsidTr="00EC00C7">
        <w:trPr>
          <w:trHeight w:val="366"/>
        </w:trPr>
        <w:tc>
          <w:tcPr>
            <w:tcW w:w="5883" w:type="dxa"/>
            <w:shd w:val="clear" w:color="auto" w:fill="auto"/>
            <w:vAlign w:val="bottom"/>
            <w:hideMark/>
          </w:tcPr>
          <w:p w:rsidR="002840C5" w:rsidRPr="002840C5" w:rsidRDefault="005E4C87" w:rsidP="002840C5">
            <w:pPr>
              <w:pStyle w:val="ListParagraph"/>
              <w:numPr>
                <w:ilvl w:val="0"/>
                <w:numId w:val="1"/>
              </w:numPr>
              <w:spacing w:after="0" w:line="240" w:lineRule="auto"/>
              <w:rPr>
                <w:rFonts w:ascii="Calibri" w:eastAsia="Times New Roman" w:hAnsi="Calibri" w:cs="Times New Roman"/>
                <w:color w:val="000000" w:themeColor="text1"/>
                <w:sz w:val="28"/>
                <w:szCs w:val="24"/>
              </w:rPr>
            </w:pPr>
            <w:hyperlink r:id="rId10" w:tooltip="AA Vial, Cap, &amp; Septa" w:history="1">
              <w:r w:rsidR="002840C5" w:rsidRPr="002840C5">
                <w:rPr>
                  <w:rFonts w:ascii="Calibri" w:eastAsia="Times New Roman" w:hAnsi="Calibri" w:cs="Times New Roman"/>
                  <w:color w:val="000000" w:themeColor="text1"/>
                  <w:sz w:val="28"/>
                  <w:szCs w:val="24"/>
                </w:rPr>
                <w:t>AA Vial, Cap, &amp; Septa</w:t>
              </w:r>
            </w:hyperlink>
          </w:p>
        </w:tc>
      </w:tr>
      <w:tr w:rsidR="002840C5" w:rsidRPr="002840C5" w:rsidTr="00EC00C7">
        <w:trPr>
          <w:trHeight w:val="244"/>
        </w:trPr>
        <w:tc>
          <w:tcPr>
            <w:tcW w:w="5883" w:type="dxa"/>
            <w:shd w:val="clear" w:color="auto" w:fill="auto"/>
            <w:vAlign w:val="bottom"/>
            <w:hideMark/>
          </w:tcPr>
          <w:p w:rsidR="002840C5" w:rsidRPr="002840C5" w:rsidRDefault="005E4C87" w:rsidP="002840C5">
            <w:pPr>
              <w:pStyle w:val="ListParagraph"/>
              <w:numPr>
                <w:ilvl w:val="0"/>
                <w:numId w:val="1"/>
              </w:numPr>
              <w:spacing w:after="0" w:line="240" w:lineRule="auto"/>
              <w:rPr>
                <w:rFonts w:ascii="Calibri" w:eastAsia="Times New Roman" w:hAnsi="Calibri" w:cs="Times New Roman"/>
                <w:color w:val="000000" w:themeColor="text1"/>
                <w:sz w:val="28"/>
                <w:szCs w:val="24"/>
              </w:rPr>
            </w:pPr>
            <w:hyperlink r:id="rId11" w:tooltip="Septa for AA Vial" w:history="1">
              <w:r w:rsidR="002840C5" w:rsidRPr="002840C5">
                <w:rPr>
                  <w:rFonts w:ascii="Calibri" w:eastAsia="Times New Roman" w:hAnsi="Calibri" w:cs="Times New Roman"/>
                  <w:color w:val="000000" w:themeColor="text1"/>
                  <w:sz w:val="28"/>
                  <w:szCs w:val="24"/>
                </w:rPr>
                <w:t>Septa for AA Vial</w:t>
              </w:r>
            </w:hyperlink>
          </w:p>
        </w:tc>
      </w:tr>
      <w:tr w:rsidR="002840C5" w:rsidRPr="002840C5" w:rsidTr="00EC00C7">
        <w:trPr>
          <w:trHeight w:val="244"/>
        </w:trPr>
        <w:tc>
          <w:tcPr>
            <w:tcW w:w="5883" w:type="dxa"/>
            <w:shd w:val="clear" w:color="auto" w:fill="auto"/>
            <w:vAlign w:val="bottom"/>
            <w:hideMark/>
          </w:tcPr>
          <w:p w:rsidR="002840C5" w:rsidRPr="002840C5" w:rsidRDefault="005E4C87" w:rsidP="002840C5">
            <w:pPr>
              <w:pStyle w:val="ListParagraph"/>
              <w:numPr>
                <w:ilvl w:val="0"/>
                <w:numId w:val="1"/>
              </w:numPr>
              <w:spacing w:after="0" w:line="240" w:lineRule="auto"/>
              <w:rPr>
                <w:rFonts w:ascii="Calibri" w:eastAsia="Times New Roman" w:hAnsi="Calibri" w:cs="Times New Roman"/>
                <w:color w:val="000000" w:themeColor="text1"/>
                <w:sz w:val="28"/>
                <w:szCs w:val="24"/>
              </w:rPr>
            </w:pPr>
            <w:hyperlink r:id="rId12" w:tooltip="Septa for AA Vial" w:history="1">
              <w:r w:rsidR="002840C5" w:rsidRPr="002840C5">
                <w:rPr>
                  <w:rFonts w:ascii="Calibri" w:eastAsia="Times New Roman" w:hAnsi="Calibri" w:cs="Times New Roman"/>
                  <w:color w:val="000000" w:themeColor="text1"/>
                  <w:sz w:val="28"/>
                  <w:szCs w:val="24"/>
                </w:rPr>
                <w:t>Septa for AA Vial</w:t>
              </w:r>
            </w:hyperlink>
          </w:p>
        </w:tc>
      </w:tr>
      <w:tr w:rsidR="002840C5" w:rsidRPr="002840C5" w:rsidTr="00EC00C7">
        <w:trPr>
          <w:trHeight w:val="80"/>
        </w:trPr>
        <w:tc>
          <w:tcPr>
            <w:tcW w:w="5883" w:type="dxa"/>
            <w:shd w:val="clear" w:color="auto" w:fill="auto"/>
            <w:vAlign w:val="bottom"/>
            <w:hideMark/>
          </w:tcPr>
          <w:p w:rsidR="002840C5" w:rsidRPr="002840C5" w:rsidRDefault="005E4C87" w:rsidP="002840C5">
            <w:pPr>
              <w:pStyle w:val="ListParagraph"/>
              <w:numPr>
                <w:ilvl w:val="0"/>
                <w:numId w:val="1"/>
              </w:numPr>
              <w:spacing w:after="0" w:line="240" w:lineRule="auto"/>
              <w:rPr>
                <w:rFonts w:ascii="Calibri" w:eastAsia="Times New Roman" w:hAnsi="Calibri" w:cs="Times New Roman"/>
                <w:color w:val="000000" w:themeColor="text1"/>
                <w:sz w:val="28"/>
                <w:szCs w:val="24"/>
              </w:rPr>
            </w:pPr>
            <w:hyperlink r:id="rId13" w:tooltip="O-Rings for AA Vial" w:history="1">
              <w:r w:rsidR="002840C5" w:rsidRPr="002840C5">
                <w:rPr>
                  <w:rFonts w:ascii="Calibri" w:eastAsia="Times New Roman" w:hAnsi="Calibri" w:cs="Times New Roman"/>
                  <w:color w:val="000000" w:themeColor="text1"/>
                  <w:sz w:val="28"/>
                  <w:szCs w:val="24"/>
                </w:rPr>
                <w:t>O-Rings for AA Vial</w:t>
              </w:r>
            </w:hyperlink>
          </w:p>
        </w:tc>
      </w:tr>
      <w:tr w:rsidR="002840C5" w:rsidRPr="002840C5" w:rsidTr="00EC00C7">
        <w:trPr>
          <w:trHeight w:val="395"/>
        </w:trPr>
        <w:tc>
          <w:tcPr>
            <w:tcW w:w="5883" w:type="dxa"/>
            <w:shd w:val="clear" w:color="auto" w:fill="auto"/>
            <w:vAlign w:val="bottom"/>
            <w:hideMark/>
          </w:tcPr>
          <w:p w:rsidR="002840C5" w:rsidRPr="002840C5" w:rsidRDefault="005E4C87" w:rsidP="002840C5">
            <w:pPr>
              <w:pStyle w:val="ListParagraph"/>
              <w:numPr>
                <w:ilvl w:val="0"/>
                <w:numId w:val="1"/>
              </w:numPr>
              <w:spacing w:after="0" w:line="240" w:lineRule="auto"/>
              <w:rPr>
                <w:rFonts w:ascii="Calibri" w:eastAsia="Times New Roman" w:hAnsi="Calibri" w:cs="Times New Roman"/>
                <w:color w:val="000000" w:themeColor="text1"/>
                <w:sz w:val="28"/>
                <w:szCs w:val="24"/>
              </w:rPr>
            </w:pPr>
            <w:hyperlink r:id="rId14" w:tooltip="Bottle, Safety-Coated 1 L" w:history="1">
              <w:r w:rsidR="002840C5" w:rsidRPr="002840C5">
                <w:rPr>
                  <w:rFonts w:ascii="Calibri" w:eastAsia="Times New Roman" w:hAnsi="Calibri" w:cs="Times New Roman"/>
                  <w:color w:val="000000" w:themeColor="text1"/>
                  <w:sz w:val="28"/>
                  <w:szCs w:val="24"/>
                </w:rPr>
                <w:t>Bottle, Safety-Coated 1 L</w:t>
              </w:r>
            </w:hyperlink>
          </w:p>
        </w:tc>
      </w:tr>
      <w:tr w:rsidR="002840C5" w:rsidRPr="002840C5" w:rsidTr="00EC00C7">
        <w:trPr>
          <w:trHeight w:val="440"/>
        </w:trPr>
        <w:tc>
          <w:tcPr>
            <w:tcW w:w="5883" w:type="dxa"/>
            <w:shd w:val="clear" w:color="auto" w:fill="auto"/>
            <w:vAlign w:val="bottom"/>
            <w:hideMark/>
          </w:tcPr>
          <w:p w:rsidR="002840C5" w:rsidRPr="002840C5" w:rsidRDefault="005E4C87" w:rsidP="002840C5">
            <w:pPr>
              <w:pStyle w:val="ListParagraph"/>
              <w:numPr>
                <w:ilvl w:val="0"/>
                <w:numId w:val="1"/>
              </w:numPr>
              <w:spacing w:after="0" w:line="240" w:lineRule="auto"/>
              <w:rPr>
                <w:rFonts w:ascii="Calibri" w:eastAsia="Times New Roman" w:hAnsi="Calibri" w:cs="Times New Roman"/>
                <w:color w:val="000000" w:themeColor="text1"/>
                <w:sz w:val="28"/>
                <w:szCs w:val="24"/>
              </w:rPr>
            </w:pPr>
            <w:hyperlink r:id="rId15" w:tooltip="Bottle, Safety-Coated 4 L" w:history="1">
              <w:r w:rsidR="002840C5" w:rsidRPr="002840C5">
                <w:rPr>
                  <w:rFonts w:ascii="Calibri" w:eastAsia="Times New Roman" w:hAnsi="Calibri" w:cs="Times New Roman"/>
                  <w:color w:val="000000" w:themeColor="text1"/>
                  <w:sz w:val="28"/>
                  <w:szCs w:val="24"/>
                </w:rPr>
                <w:t>Bottle, Safety-Coated 4 L</w:t>
              </w:r>
            </w:hyperlink>
          </w:p>
        </w:tc>
      </w:tr>
      <w:tr w:rsidR="002840C5" w:rsidRPr="002840C5" w:rsidTr="00EC00C7">
        <w:trPr>
          <w:trHeight w:val="350"/>
        </w:trPr>
        <w:tc>
          <w:tcPr>
            <w:tcW w:w="5883" w:type="dxa"/>
            <w:shd w:val="clear" w:color="auto" w:fill="auto"/>
            <w:vAlign w:val="bottom"/>
            <w:hideMark/>
          </w:tcPr>
          <w:p w:rsidR="002840C5" w:rsidRPr="002840C5" w:rsidRDefault="005E4C87" w:rsidP="002840C5">
            <w:pPr>
              <w:pStyle w:val="ListParagraph"/>
              <w:numPr>
                <w:ilvl w:val="0"/>
                <w:numId w:val="1"/>
              </w:numPr>
              <w:spacing w:after="0" w:line="240" w:lineRule="auto"/>
              <w:rPr>
                <w:rFonts w:ascii="Calibri" w:eastAsia="Times New Roman" w:hAnsi="Calibri" w:cs="Times New Roman"/>
                <w:color w:val="000000" w:themeColor="text1"/>
                <w:sz w:val="28"/>
                <w:szCs w:val="24"/>
              </w:rPr>
            </w:pPr>
            <w:hyperlink r:id="rId16" w:tooltip="Bottle Filter Frit, 1/8" w:history="1">
              <w:r w:rsidR="002840C5" w:rsidRPr="002840C5">
                <w:rPr>
                  <w:rFonts w:ascii="Calibri" w:eastAsia="Times New Roman" w:hAnsi="Calibri" w:cs="Times New Roman"/>
                  <w:color w:val="000000" w:themeColor="text1"/>
                  <w:sz w:val="28"/>
                  <w:szCs w:val="24"/>
                </w:rPr>
                <w:t>Bottle Filter Frit, 1/8" Tube</w:t>
              </w:r>
            </w:hyperlink>
          </w:p>
        </w:tc>
      </w:tr>
      <w:tr w:rsidR="002840C5" w:rsidRPr="002840C5" w:rsidTr="00EC00C7">
        <w:trPr>
          <w:trHeight w:val="413"/>
        </w:trPr>
        <w:tc>
          <w:tcPr>
            <w:tcW w:w="5883" w:type="dxa"/>
            <w:shd w:val="clear" w:color="auto" w:fill="auto"/>
            <w:vAlign w:val="bottom"/>
            <w:hideMark/>
          </w:tcPr>
          <w:p w:rsidR="002840C5" w:rsidRPr="002840C5" w:rsidRDefault="005E4C87" w:rsidP="002840C5">
            <w:pPr>
              <w:pStyle w:val="ListParagraph"/>
              <w:numPr>
                <w:ilvl w:val="0"/>
                <w:numId w:val="1"/>
              </w:numPr>
              <w:spacing w:after="0" w:line="240" w:lineRule="auto"/>
              <w:rPr>
                <w:rFonts w:ascii="Calibri" w:eastAsia="Times New Roman" w:hAnsi="Calibri" w:cs="Times New Roman"/>
                <w:color w:val="000000" w:themeColor="text1"/>
                <w:sz w:val="28"/>
                <w:szCs w:val="24"/>
              </w:rPr>
            </w:pPr>
            <w:hyperlink r:id="rId17" w:tooltip="Bottle Filter Housing, 1/8" w:history="1">
              <w:r w:rsidR="002840C5" w:rsidRPr="002840C5">
                <w:rPr>
                  <w:rFonts w:ascii="Calibri" w:eastAsia="Times New Roman" w:hAnsi="Calibri" w:cs="Times New Roman"/>
                  <w:color w:val="000000" w:themeColor="text1"/>
                  <w:sz w:val="28"/>
                  <w:szCs w:val="24"/>
                </w:rPr>
                <w:t>Bottle Filter Housing, 1/8" Tube</w:t>
              </w:r>
            </w:hyperlink>
          </w:p>
        </w:tc>
      </w:tr>
      <w:tr w:rsidR="002840C5" w:rsidRPr="002840C5" w:rsidTr="00EC00C7">
        <w:trPr>
          <w:trHeight w:val="548"/>
        </w:trPr>
        <w:tc>
          <w:tcPr>
            <w:tcW w:w="5883" w:type="dxa"/>
            <w:shd w:val="clear" w:color="auto" w:fill="auto"/>
            <w:vAlign w:val="bottom"/>
            <w:hideMark/>
          </w:tcPr>
          <w:p w:rsidR="002840C5" w:rsidRPr="002840C5" w:rsidRDefault="005E4C87" w:rsidP="002840C5">
            <w:pPr>
              <w:pStyle w:val="ListParagraph"/>
              <w:numPr>
                <w:ilvl w:val="0"/>
                <w:numId w:val="1"/>
              </w:numPr>
              <w:spacing w:after="0" w:line="240" w:lineRule="auto"/>
              <w:rPr>
                <w:rFonts w:ascii="Calibri" w:eastAsia="Times New Roman" w:hAnsi="Calibri" w:cs="Times New Roman"/>
                <w:color w:val="000000" w:themeColor="text1"/>
                <w:sz w:val="28"/>
                <w:szCs w:val="24"/>
              </w:rPr>
            </w:pPr>
            <w:hyperlink r:id="rId18" w:tooltip="Insert for 0.5, 1, and 4 L Bottle Caps" w:history="1">
              <w:r w:rsidR="002840C5" w:rsidRPr="002840C5">
                <w:rPr>
                  <w:rFonts w:ascii="Calibri" w:eastAsia="Times New Roman" w:hAnsi="Calibri" w:cs="Times New Roman"/>
                  <w:color w:val="000000" w:themeColor="text1"/>
                  <w:sz w:val="28"/>
                  <w:szCs w:val="24"/>
                </w:rPr>
                <w:t>Insert for 0.5, 1, and 4 L Bottle Caps</w:t>
              </w:r>
            </w:hyperlink>
          </w:p>
        </w:tc>
      </w:tr>
      <w:tr w:rsidR="002840C5" w:rsidRPr="002840C5" w:rsidTr="00EC00C7">
        <w:trPr>
          <w:trHeight w:val="489"/>
        </w:trPr>
        <w:tc>
          <w:tcPr>
            <w:tcW w:w="5883" w:type="dxa"/>
            <w:shd w:val="clear" w:color="auto" w:fill="auto"/>
            <w:vAlign w:val="bottom"/>
            <w:hideMark/>
          </w:tcPr>
          <w:p w:rsidR="002840C5" w:rsidRPr="002840C5" w:rsidRDefault="005E4C87" w:rsidP="002840C5">
            <w:pPr>
              <w:pStyle w:val="ListParagraph"/>
              <w:numPr>
                <w:ilvl w:val="0"/>
                <w:numId w:val="1"/>
              </w:numPr>
              <w:spacing w:after="0" w:line="240" w:lineRule="auto"/>
              <w:rPr>
                <w:rFonts w:ascii="Calibri" w:eastAsia="Times New Roman" w:hAnsi="Calibri" w:cs="Times New Roman"/>
                <w:color w:val="000000" w:themeColor="text1"/>
                <w:sz w:val="28"/>
                <w:szCs w:val="24"/>
              </w:rPr>
            </w:pPr>
            <w:hyperlink r:id="rId19" w:tooltip="O-Ring for 0.5, 1 and 4 L Bottles" w:history="1">
              <w:r w:rsidR="002840C5" w:rsidRPr="002840C5">
                <w:rPr>
                  <w:rFonts w:ascii="Calibri" w:eastAsia="Times New Roman" w:hAnsi="Calibri" w:cs="Times New Roman"/>
                  <w:color w:val="000000" w:themeColor="text1"/>
                  <w:sz w:val="28"/>
                  <w:szCs w:val="24"/>
                </w:rPr>
                <w:t>O-Ring for 0.5, 1 and 4 L Bottles</w:t>
              </w:r>
            </w:hyperlink>
          </w:p>
        </w:tc>
      </w:tr>
      <w:tr w:rsidR="002840C5" w:rsidRPr="002840C5" w:rsidTr="00EC00C7">
        <w:trPr>
          <w:trHeight w:val="377"/>
        </w:trPr>
        <w:tc>
          <w:tcPr>
            <w:tcW w:w="5883" w:type="dxa"/>
            <w:shd w:val="clear" w:color="auto" w:fill="auto"/>
            <w:vAlign w:val="bottom"/>
            <w:hideMark/>
          </w:tcPr>
          <w:p w:rsidR="002840C5" w:rsidRPr="002840C5" w:rsidRDefault="005446FD" w:rsidP="002840C5">
            <w:pPr>
              <w:pStyle w:val="ListParagraph"/>
              <w:numPr>
                <w:ilvl w:val="0"/>
                <w:numId w:val="1"/>
              </w:numPr>
              <w:spacing w:after="0" w:line="240" w:lineRule="auto"/>
              <w:rPr>
                <w:rFonts w:ascii="Calibri" w:eastAsia="Times New Roman" w:hAnsi="Calibri" w:cs="Times New Roman"/>
                <w:color w:val="000000" w:themeColor="text1"/>
                <w:sz w:val="28"/>
                <w:szCs w:val="24"/>
              </w:rPr>
            </w:pPr>
            <w:hyperlink r:id="rId20" w:tooltip="Filter Washer Set (30 Filters, 10 Washers)" w:history="1">
              <w:r w:rsidR="002840C5" w:rsidRPr="002840C5">
                <w:rPr>
                  <w:rFonts w:ascii="Calibri" w:eastAsia="Times New Roman" w:hAnsi="Calibri" w:cs="Times New Roman"/>
                  <w:color w:val="000000" w:themeColor="text1"/>
                  <w:sz w:val="28"/>
                  <w:szCs w:val="24"/>
                </w:rPr>
                <w:t>Filter Washer Set (30 Filters, 10 Washers)</w:t>
              </w:r>
            </w:hyperlink>
          </w:p>
        </w:tc>
      </w:tr>
      <w:tr w:rsidR="002840C5" w:rsidRPr="002840C5" w:rsidTr="00EC00C7">
        <w:trPr>
          <w:trHeight w:val="244"/>
        </w:trPr>
        <w:tc>
          <w:tcPr>
            <w:tcW w:w="5883" w:type="dxa"/>
            <w:shd w:val="clear" w:color="auto" w:fill="auto"/>
            <w:vAlign w:val="bottom"/>
            <w:hideMark/>
          </w:tcPr>
          <w:p w:rsidR="002840C5" w:rsidRPr="002840C5" w:rsidRDefault="005E4C87" w:rsidP="002840C5">
            <w:pPr>
              <w:pStyle w:val="ListParagraph"/>
              <w:numPr>
                <w:ilvl w:val="0"/>
                <w:numId w:val="1"/>
              </w:numPr>
              <w:spacing w:after="0" w:line="240" w:lineRule="auto"/>
              <w:rPr>
                <w:rFonts w:ascii="Calibri" w:eastAsia="Times New Roman" w:hAnsi="Calibri" w:cs="Times New Roman"/>
                <w:color w:val="000000" w:themeColor="text1"/>
                <w:sz w:val="28"/>
                <w:szCs w:val="24"/>
              </w:rPr>
            </w:pPr>
            <w:hyperlink r:id="rId21" w:tooltip="Waste Tank" w:history="1">
              <w:r w:rsidR="002840C5" w:rsidRPr="002840C5">
                <w:rPr>
                  <w:rFonts w:ascii="Calibri" w:eastAsia="Times New Roman" w:hAnsi="Calibri" w:cs="Times New Roman"/>
                  <w:color w:val="000000" w:themeColor="text1"/>
                  <w:sz w:val="28"/>
                  <w:szCs w:val="24"/>
                </w:rPr>
                <w:t>Waste Tank</w:t>
              </w:r>
            </w:hyperlink>
          </w:p>
        </w:tc>
      </w:tr>
    </w:tbl>
    <w:p w:rsidR="002840C5" w:rsidRDefault="002840C5" w:rsidP="002840C5">
      <w:pPr>
        <w:spacing w:line="240" w:lineRule="auto"/>
        <w:rPr>
          <w:b/>
          <w:color w:val="000000" w:themeColor="text1"/>
          <w:sz w:val="24"/>
          <w:szCs w:val="24"/>
        </w:rPr>
      </w:pPr>
    </w:p>
    <w:p w:rsidR="002840C5" w:rsidRPr="00750531" w:rsidRDefault="00CE36A7" w:rsidP="00750531">
      <w:pPr>
        <w:rPr>
          <w:b/>
          <w:sz w:val="32"/>
        </w:rPr>
      </w:pPr>
      <w:r w:rsidRPr="00750531">
        <w:rPr>
          <w:b/>
          <w:sz w:val="32"/>
        </w:rPr>
        <w:t>Other Supporting Instruments</w:t>
      </w:r>
    </w:p>
    <w:p w:rsidR="00CE36A7" w:rsidRPr="005E4C87" w:rsidRDefault="00CE36A7" w:rsidP="00CE36A7">
      <w:pPr>
        <w:pStyle w:val="ListParagraph"/>
        <w:numPr>
          <w:ilvl w:val="0"/>
          <w:numId w:val="2"/>
        </w:numPr>
        <w:spacing w:line="240" w:lineRule="auto"/>
        <w:rPr>
          <w:bCs/>
          <w:color w:val="000000" w:themeColor="text1"/>
          <w:sz w:val="28"/>
          <w:szCs w:val="28"/>
        </w:rPr>
      </w:pPr>
      <w:proofErr w:type="spellStart"/>
      <w:r w:rsidRPr="005E4C87">
        <w:rPr>
          <w:bCs/>
          <w:color w:val="000000" w:themeColor="text1"/>
          <w:sz w:val="28"/>
          <w:szCs w:val="28"/>
        </w:rPr>
        <w:t>Dionex</w:t>
      </w:r>
      <w:proofErr w:type="spellEnd"/>
      <w:r w:rsidRPr="005E4C87">
        <w:rPr>
          <w:bCs/>
          <w:color w:val="000000" w:themeColor="text1"/>
          <w:sz w:val="28"/>
          <w:szCs w:val="28"/>
        </w:rPr>
        <w:t xml:space="preserve"> Ultimate 3000 HPLC</w:t>
      </w:r>
    </w:p>
    <w:p w:rsidR="00CE36A7" w:rsidRPr="005E4C87" w:rsidRDefault="00CE36A7" w:rsidP="00CE36A7">
      <w:pPr>
        <w:pStyle w:val="ListParagraph"/>
        <w:numPr>
          <w:ilvl w:val="0"/>
          <w:numId w:val="2"/>
        </w:numPr>
        <w:spacing w:line="240" w:lineRule="auto"/>
        <w:rPr>
          <w:bCs/>
          <w:color w:val="000000" w:themeColor="text1"/>
          <w:sz w:val="28"/>
          <w:szCs w:val="28"/>
        </w:rPr>
      </w:pPr>
      <w:r w:rsidRPr="005E4C87">
        <w:rPr>
          <w:bCs/>
          <w:color w:val="000000" w:themeColor="text1"/>
          <w:sz w:val="28"/>
          <w:szCs w:val="28"/>
        </w:rPr>
        <w:t>WATERS HPLC</w:t>
      </w:r>
      <w:bookmarkStart w:id="0" w:name="_GoBack"/>
      <w:bookmarkEnd w:id="0"/>
    </w:p>
    <w:p w:rsidR="00CE36A7" w:rsidRPr="00750531" w:rsidRDefault="00CE36A7" w:rsidP="00750531">
      <w:pPr>
        <w:rPr>
          <w:b/>
          <w:sz w:val="32"/>
        </w:rPr>
      </w:pPr>
      <w:r w:rsidRPr="00750531">
        <w:rPr>
          <w:b/>
          <w:sz w:val="32"/>
        </w:rPr>
        <w:t xml:space="preserve">Facilities Available: </w:t>
      </w:r>
    </w:p>
    <w:p w:rsidR="00CE36A7" w:rsidRPr="005E4C87" w:rsidRDefault="00CE36A7" w:rsidP="00CE36A7">
      <w:pPr>
        <w:pStyle w:val="ListParagraph"/>
        <w:numPr>
          <w:ilvl w:val="0"/>
          <w:numId w:val="3"/>
        </w:numPr>
        <w:spacing w:line="240" w:lineRule="auto"/>
        <w:rPr>
          <w:bCs/>
          <w:color w:val="000000" w:themeColor="text1"/>
          <w:sz w:val="28"/>
          <w:szCs w:val="28"/>
        </w:rPr>
      </w:pPr>
      <w:proofErr w:type="spellStart"/>
      <w:r w:rsidRPr="005E4C87">
        <w:rPr>
          <w:bCs/>
          <w:color w:val="000000" w:themeColor="text1"/>
          <w:sz w:val="28"/>
          <w:szCs w:val="28"/>
        </w:rPr>
        <w:t>Fmos</w:t>
      </w:r>
      <w:proofErr w:type="spellEnd"/>
      <w:r w:rsidRPr="005E4C87">
        <w:rPr>
          <w:bCs/>
          <w:color w:val="000000" w:themeColor="text1"/>
          <w:sz w:val="28"/>
          <w:szCs w:val="28"/>
        </w:rPr>
        <w:t xml:space="preserve"> –Chemistry (All natural/unnatural amino acids, alpha amino acids)</w:t>
      </w:r>
    </w:p>
    <w:p w:rsidR="00CE36A7" w:rsidRPr="005E4C87" w:rsidRDefault="00CE36A7" w:rsidP="00CE36A7">
      <w:pPr>
        <w:pStyle w:val="ListParagraph"/>
        <w:numPr>
          <w:ilvl w:val="0"/>
          <w:numId w:val="3"/>
        </w:numPr>
        <w:spacing w:line="240" w:lineRule="auto"/>
        <w:rPr>
          <w:bCs/>
          <w:color w:val="000000" w:themeColor="text1"/>
          <w:sz w:val="28"/>
          <w:szCs w:val="28"/>
        </w:rPr>
      </w:pPr>
      <w:r w:rsidRPr="005E4C87">
        <w:rPr>
          <w:bCs/>
          <w:color w:val="000000" w:themeColor="text1"/>
          <w:sz w:val="28"/>
          <w:szCs w:val="28"/>
        </w:rPr>
        <w:t>Resins</w:t>
      </w:r>
      <w:r w:rsidR="000A685D" w:rsidRPr="005E4C87">
        <w:rPr>
          <w:bCs/>
          <w:color w:val="000000" w:themeColor="text1"/>
          <w:sz w:val="28"/>
          <w:szCs w:val="28"/>
        </w:rPr>
        <w:t xml:space="preserve"> available (Wang, 2-Chlorotrity</w:t>
      </w:r>
      <w:r w:rsidRPr="005E4C87">
        <w:rPr>
          <w:bCs/>
          <w:color w:val="000000" w:themeColor="text1"/>
          <w:sz w:val="28"/>
          <w:szCs w:val="28"/>
        </w:rPr>
        <w:t>l, MBHA-RAM etc.)</w:t>
      </w:r>
    </w:p>
    <w:p w:rsidR="00CE36A7" w:rsidRPr="005E4C87" w:rsidRDefault="00CE36A7" w:rsidP="00CE36A7">
      <w:pPr>
        <w:pStyle w:val="ListParagraph"/>
        <w:numPr>
          <w:ilvl w:val="0"/>
          <w:numId w:val="3"/>
        </w:numPr>
        <w:spacing w:line="240" w:lineRule="auto"/>
        <w:rPr>
          <w:bCs/>
          <w:color w:val="000000" w:themeColor="text1"/>
          <w:sz w:val="28"/>
          <w:szCs w:val="28"/>
        </w:rPr>
      </w:pPr>
      <w:r w:rsidRPr="005E4C87">
        <w:rPr>
          <w:bCs/>
          <w:color w:val="000000" w:themeColor="text1"/>
          <w:sz w:val="28"/>
          <w:szCs w:val="28"/>
        </w:rPr>
        <w:t xml:space="preserve">N-terminal protection (Acetylation, </w:t>
      </w:r>
      <w:proofErr w:type="spellStart"/>
      <w:r w:rsidRPr="005E4C87">
        <w:rPr>
          <w:bCs/>
          <w:color w:val="000000" w:themeColor="text1"/>
          <w:sz w:val="28"/>
          <w:szCs w:val="28"/>
        </w:rPr>
        <w:t>Benzylation</w:t>
      </w:r>
      <w:proofErr w:type="spellEnd"/>
      <w:r w:rsidRPr="005E4C87">
        <w:rPr>
          <w:bCs/>
          <w:color w:val="000000" w:themeColor="text1"/>
          <w:sz w:val="28"/>
          <w:szCs w:val="28"/>
        </w:rPr>
        <w:t xml:space="preserve">, </w:t>
      </w:r>
      <w:proofErr w:type="spellStart"/>
      <w:r w:rsidRPr="005E4C87">
        <w:rPr>
          <w:bCs/>
          <w:color w:val="000000" w:themeColor="text1"/>
          <w:sz w:val="28"/>
          <w:szCs w:val="28"/>
        </w:rPr>
        <w:t>Biotinylation</w:t>
      </w:r>
      <w:proofErr w:type="spellEnd"/>
      <w:r w:rsidRPr="005E4C87">
        <w:rPr>
          <w:bCs/>
          <w:color w:val="000000" w:themeColor="text1"/>
          <w:sz w:val="28"/>
          <w:szCs w:val="28"/>
        </w:rPr>
        <w:t>, etc.)</w:t>
      </w:r>
    </w:p>
    <w:p w:rsidR="00CE36A7" w:rsidRPr="005E4C87" w:rsidRDefault="00CE36A7" w:rsidP="00CE36A7">
      <w:pPr>
        <w:pStyle w:val="ListParagraph"/>
        <w:numPr>
          <w:ilvl w:val="0"/>
          <w:numId w:val="3"/>
        </w:numPr>
        <w:spacing w:line="240" w:lineRule="auto"/>
        <w:rPr>
          <w:bCs/>
          <w:color w:val="000000" w:themeColor="text1"/>
          <w:sz w:val="28"/>
          <w:szCs w:val="28"/>
        </w:rPr>
      </w:pPr>
      <w:r w:rsidRPr="005E4C87">
        <w:rPr>
          <w:bCs/>
          <w:color w:val="000000" w:themeColor="text1"/>
          <w:sz w:val="28"/>
          <w:szCs w:val="28"/>
        </w:rPr>
        <w:t>C-terminal modification (methyl, Ethyl, Benzyl esters etc.)</w:t>
      </w:r>
    </w:p>
    <w:p w:rsidR="00CE36A7" w:rsidRPr="005E4C87" w:rsidRDefault="00CE36A7" w:rsidP="00CE36A7">
      <w:pPr>
        <w:pStyle w:val="ListParagraph"/>
        <w:numPr>
          <w:ilvl w:val="0"/>
          <w:numId w:val="3"/>
        </w:numPr>
        <w:spacing w:line="240" w:lineRule="auto"/>
        <w:rPr>
          <w:bCs/>
          <w:color w:val="000000" w:themeColor="text1"/>
          <w:sz w:val="28"/>
          <w:szCs w:val="28"/>
        </w:rPr>
      </w:pPr>
      <w:proofErr w:type="spellStart"/>
      <w:r w:rsidRPr="005E4C87">
        <w:rPr>
          <w:bCs/>
          <w:color w:val="000000" w:themeColor="text1"/>
          <w:sz w:val="28"/>
          <w:szCs w:val="28"/>
        </w:rPr>
        <w:t>Disulphide</w:t>
      </w:r>
      <w:proofErr w:type="spellEnd"/>
      <w:r w:rsidRPr="005E4C87">
        <w:rPr>
          <w:bCs/>
          <w:color w:val="000000" w:themeColor="text1"/>
          <w:sz w:val="28"/>
          <w:szCs w:val="28"/>
        </w:rPr>
        <w:t xml:space="preserve"> fridges in </w:t>
      </w:r>
      <w:proofErr w:type="spellStart"/>
      <w:r w:rsidRPr="005E4C87">
        <w:rPr>
          <w:bCs/>
          <w:color w:val="000000" w:themeColor="text1"/>
          <w:sz w:val="28"/>
          <w:szCs w:val="28"/>
        </w:rPr>
        <w:t>Cys</w:t>
      </w:r>
      <w:proofErr w:type="spellEnd"/>
      <w:r w:rsidRPr="005E4C87">
        <w:rPr>
          <w:bCs/>
          <w:color w:val="000000" w:themeColor="text1"/>
          <w:sz w:val="28"/>
          <w:szCs w:val="28"/>
        </w:rPr>
        <w:t xml:space="preserve"> containing peptides, Cyclization etc.)</w:t>
      </w:r>
    </w:p>
    <w:p w:rsidR="00CE36A7" w:rsidRPr="005E4C87" w:rsidRDefault="00CE36A7" w:rsidP="00CE36A7">
      <w:pPr>
        <w:pStyle w:val="ListParagraph"/>
        <w:numPr>
          <w:ilvl w:val="0"/>
          <w:numId w:val="3"/>
        </w:numPr>
        <w:spacing w:line="240" w:lineRule="auto"/>
        <w:rPr>
          <w:bCs/>
          <w:color w:val="000000" w:themeColor="text1"/>
          <w:sz w:val="28"/>
          <w:szCs w:val="28"/>
        </w:rPr>
      </w:pPr>
      <w:r w:rsidRPr="005E4C87">
        <w:rPr>
          <w:bCs/>
          <w:color w:val="000000" w:themeColor="text1"/>
          <w:sz w:val="28"/>
          <w:szCs w:val="28"/>
        </w:rPr>
        <w:t xml:space="preserve">Labeling with dyes (FITC, </w:t>
      </w:r>
      <w:proofErr w:type="spellStart"/>
      <w:r w:rsidRPr="005E4C87">
        <w:rPr>
          <w:bCs/>
          <w:color w:val="000000" w:themeColor="text1"/>
          <w:sz w:val="28"/>
          <w:szCs w:val="28"/>
        </w:rPr>
        <w:t>CongoRed</w:t>
      </w:r>
      <w:proofErr w:type="spellEnd"/>
      <w:r w:rsidRPr="005E4C87">
        <w:rPr>
          <w:bCs/>
          <w:color w:val="000000" w:themeColor="text1"/>
          <w:sz w:val="28"/>
          <w:szCs w:val="28"/>
        </w:rPr>
        <w:t xml:space="preserve">, Cy5, Pyrene, </w:t>
      </w:r>
      <w:proofErr w:type="spellStart"/>
      <w:r w:rsidRPr="005E4C87">
        <w:rPr>
          <w:bCs/>
          <w:color w:val="000000" w:themeColor="text1"/>
          <w:sz w:val="28"/>
          <w:szCs w:val="28"/>
        </w:rPr>
        <w:t>Tamra</w:t>
      </w:r>
      <w:proofErr w:type="spellEnd"/>
      <w:r w:rsidRPr="005E4C87">
        <w:rPr>
          <w:bCs/>
          <w:color w:val="000000" w:themeColor="text1"/>
          <w:sz w:val="28"/>
          <w:szCs w:val="28"/>
        </w:rPr>
        <w:t xml:space="preserve"> etc.)</w:t>
      </w:r>
    </w:p>
    <w:sectPr w:rsidR="00CE36A7" w:rsidRPr="005E4C87" w:rsidSect="00934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05436"/>
    <w:multiLevelType w:val="hybridMultilevel"/>
    <w:tmpl w:val="E444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750EA"/>
    <w:multiLevelType w:val="hybridMultilevel"/>
    <w:tmpl w:val="D00C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B6CF3"/>
    <w:multiLevelType w:val="hybridMultilevel"/>
    <w:tmpl w:val="C8BE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840C5"/>
    <w:rsid w:val="00096F63"/>
    <w:rsid w:val="000A685D"/>
    <w:rsid w:val="000E0671"/>
    <w:rsid w:val="002840C5"/>
    <w:rsid w:val="005446FD"/>
    <w:rsid w:val="005E4C87"/>
    <w:rsid w:val="00697613"/>
    <w:rsid w:val="00750531"/>
    <w:rsid w:val="00920C06"/>
    <w:rsid w:val="009346FE"/>
    <w:rsid w:val="00B132B0"/>
    <w:rsid w:val="00B45C48"/>
    <w:rsid w:val="00C25CB1"/>
    <w:rsid w:val="00CE36A7"/>
    <w:rsid w:val="00E57793"/>
    <w:rsid w:val="00EC00C7"/>
    <w:rsid w:val="00F270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0329B-614B-4A50-A9ED-0333FD09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0C5"/>
    <w:rPr>
      <w:rFonts w:ascii="Tahoma" w:hAnsi="Tahoma" w:cs="Tahoma"/>
      <w:sz w:val="16"/>
      <w:szCs w:val="16"/>
    </w:rPr>
  </w:style>
  <w:style w:type="character" w:styleId="Strong">
    <w:name w:val="Strong"/>
    <w:basedOn w:val="DefaultParagraphFont"/>
    <w:uiPriority w:val="22"/>
    <w:qFormat/>
    <w:rsid w:val="002840C5"/>
    <w:rPr>
      <w:b/>
      <w:bCs/>
    </w:rPr>
  </w:style>
  <w:style w:type="character" w:customStyle="1" w:styleId="style3">
    <w:name w:val="style3"/>
    <w:basedOn w:val="DefaultParagraphFont"/>
    <w:rsid w:val="002840C5"/>
  </w:style>
  <w:style w:type="character" w:styleId="Hyperlink">
    <w:name w:val="Hyperlink"/>
    <w:basedOn w:val="DefaultParagraphFont"/>
    <w:uiPriority w:val="99"/>
    <w:semiHidden/>
    <w:unhideWhenUsed/>
    <w:rsid w:val="002840C5"/>
    <w:rPr>
      <w:color w:val="0000FF"/>
      <w:u w:val="single"/>
    </w:rPr>
  </w:style>
  <w:style w:type="paragraph" w:styleId="ListParagraph">
    <w:name w:val="List Paragraph"/>
    <w:basedOn w:val="Normal"/>
    <w:uiPriority w:val="34"/>
    <w:qFormat/>
    <w:rsid w:val="002840C5"/>
    <w:pPr>
      <w:ind w:left="720"/>
      <w:contextualSpacing/>
    </w:pPr>
  </w:style>
  <w:style w:type="table" w:styleId="TableGrid">
    <w:name w:val="Table Grid"/>
    <w:basedOn w:val="TableNormal"/>
    <w:uiPriority w:val="59"/>
    <w:rsid w:val="00F2700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913197">
      <w:bodyDiv w:val="1"/>
      <w:marLeft w:val="0"/>
      <w:marRight w:val="0"/>
      <w:marTop w:val="0"/>
      <w:marBottom w:val="0"/>
      <w:divBdr>
        <w:top w:val="none" w:sz="0" w:space="0" w:color="auto"/>
        <w:left w:val="none" w:sz="0" w:space="0" w:color="auto"/>
        <w:bottom w:val="none" w:sz="0" w:space="0" w:color="auto"/>
        <w:right w:val="none" w:sz="0" w:space="0" w:color="auto"/>
      </w:divBdr>
    </w:div>
    <w:div w:id="18235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tipep.com/parts-accessories%7Eps3-1009%7Eps3-accessories-1011%7Ereaction-vessel-cap-1014" TargetMode="External"/><Relationship Id="rId13" Type="http://schemas.openxmlformats.org/officeDocument/2006/relationships/hyperlink" Target="http://www.ptipep.com/parts-accessories%7Eps3-1009%7Eps3-accessories-1011%7Eo-rings-for-aa-vial-1222" TargetMode="External"/><Relationship Id="rId18" Type="http://schemas.openxmlformats.org/officeDocument/2006/relationships/hyperlink" Target="http://www.ptipep.com/parts-accessories%7Eps3-1009%7Eps3-accessories-1011%7Einsert-for-05-1-and-4-l-bottle-caps-1025" TargetMode="External"/><Relationship Id="rId3" Type="http://schemas.openxmlformats.org/officeDocument/2006/relationships/settings" Target="settings.xml"/><Relationship Id="rId21" Type="http://schemas.openxmlformats.org/officeDocument/2006/relationships/hyperlink" Target="http://www.ptipep.com/parts-accessories%7Eps3-1009%7Eps3-accessories-1011%7Ewaste-tank-1042" TargetMode="External"/><Relationship Id="rId7" Type="http://schemas.openxmlformats.org/officeDocument/2006/relationships/hyperlink" Target="http://www.ptipep.com/parts-accessories%7Eps3-1009%7Eps3-accessories-1011%7E75-ml-reaction-vessel-glass-1013" TargetMode="External"/><Relationship Id="rId12" Type="http://schemas.openxmlformats.org/officeDocument/2006/relationships/hyperlink" Target="http://www.ptipep.com/parts-accessories%7Eps3-1009%7Eps3-accessories-1011%7Esepta-for-aa-vial-1130" TargetMode="External"/><Relationship Id="rId17" Type="http://schemas.openxmlformats.org/officeDocument/2006/relationships/hyperlink" Target="http://www.ptipep.com/parts-accessories%7Eps3-1009%7Eps3-accessories-1011%7Ebottle-filter-housing-1-8-tube-1030" TargetMode="External"/><Relationship Id="rId2" Type="http://schemas.openxmlformats.org/officeDocument/2006/relationships/styles" Target="styles.xml"/><Relationship Id="rId16" Type="http://schemas.openxmlformats.org/officeDocument/2006/relationships/hyperlink" Target="http://www.ptipep.com/parts-accessories%7Eps3-1009%7Eps3-accessories-1011%7Ebottle-filter-frit-1-8-tube-1223" TargetMode="External"/><Relationship Id="rId20" Type="http://schemas.openxmlformats.org/officeDocument/2006/relationships/hyperlink" Target="http://www.ptipep.com/parts-accessories%7Eps3-1009%7Eps3-accessories-1011%7Efilter-washer-set-30-filters-10-washers-1229" TargetMode="External"/><Relationship Id="rId1" Type="http://schemas.openxmlformats.org/officeDocument/2006/relationships/numbering" Target="numbering.xml"/><Relationship Id="rId6" Type="http://schemas.openxmlformats.org/officeDocument/2006/relationships/hyperlink" Target="http://www.ptipep.com/parts-accessories%7Eps3-1009%7Eps3-accessories-1011%7E30-ml-reaction-vessel-glass-1012" TargetMode="External"/><Relationship Id="rId11" Type="http://schemas.openxmlformats.org/officeDocument/2006/relationships/hyperlink" Target="http://www.ptipep.com/parts-accessories%7Eps3-1009%7Eps3-accessories-1011%7Esepta-for-aa-vial-1129" TargetMode="External"/><Relationship Id="rId5" Type="http://schemas.openxmlformats.org/officeDocument/2006/relationships/image" Target="media/image1.jpeg"/><Relationship Id="rId15" Type="http://schemas.openxmlformats.org/officeDocument/2006/relationships/hyperlink" Target="http://www.ptipep.com/parts-accessories%7Eps3-1009%7Eps3-accessories-1011%7Ebottle-safety-coated-4-l-1226" TargetMode="External"/><Relationship Id="rId23" Type="http://schemas.openxmlformats.org/officeDocument/2006/relationships/theme" Target="theme/theme1.xml"/><Relationship Id="rId10" Type="http://schemas.openxmlformats.org/officeDocument/2006/relationships/hyperlink" Target="http://www.ptipep.com/parts-accessories%7Eps3-1009%7Eps3-accessories-1011%7Eaa-vial-cap-septa-1017" TargetMode="External"/><Relationship Id="rId19" Type="http://schemas.openxmlformats.org/officeDocument/2006/relationships/hyperlink" Target="http://www.ptipep.com/parts-accessories%7Eps3-1009%7Eps3-accessories-1011%7Eo-ring-for-05-1-and-4-l-bottles-1228" TargetMode="External"/><Relationship Id="rId4" Type="http://schemas.openxmlformats.org/officeDocument/2006/relationships/webSettings" Target="webSettings.xml"/><Relationship Id="rId9" Type="http://schemas.openxmlformats.org/officeDocument/2006/relationships/hyperlink" Target="http://www.ptipep.com/parts-accessories%7Eps3-1009%7Eps3-accessories-1011%7Eaa-vial-cap-septa-1016" TargetMode="External"/><Relationship Id="rId14" Type="http://schemas.openxmlformats.org/officeDocument/2006/relationships/hyperlink" Target="http://www.ptipep.com/parts-accessories%7Eps3-1009%7Eps3-accessories-1011%7Ebottle-safety-coated-1-l-12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S.D.Bhat</dc:creator>
  <cp:keywords/>
  <dc:description/>
  <cp:lastModifiedBy>ISD IMTECH</cp:lastModifiedBy>
  <cp:revision>15</cp:revision>
  <dcterms:created xsi:type="dcterms:W3CDTF">2013-05-28T10:31:00Z</dcterms:created>
  <dcterms:modified xsi:type="dcterms:W3CDTF">2016-09-08T09:35:00Z</dcterms:modified>
</cp:coreProperties>
</file>